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34" w:rsidRDefault="00730E34" w:rsidP="00730E34">
      <w:pPr>
        <w:pStyle w:val="Kop1"/>
      </w:pPr>
      <w:bookmarkStart w:id="0" w:name="_Toc317088012"/>
      <w:r>
        <w:t>Toestemming tot het verstrekken van medicijnen op verzoek</w:t>
      </w:r>
      <w:bookmarkEnd w:id="0"/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Ondergetekende geeft toestemming voor het toedienen van de hieronder omschreven medicijn(en) aan: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(naam kind):………………………………………………………………………………….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geboortedatum:………………………………………………………………………………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adres:………………………………………………………………………………………….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postcode en plaats:………………………………………………………………………….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naam ouder(s)/verzorger(s):………………………………………………………………..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telefoon thuis:………………………………………………………………………………...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telefoon werk:…………………………………………………………………………………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naam huisarts:………………………………………………………………………………..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telefoon:………………………………………………………………………………………..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naam specialist:……………………………………………………………………………….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telefoon:………………………………………………………………………………………..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De medicijnen zijn nodig voor onderstaande ziekte: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……………………………………………………………………………………………………….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Naam van het medicijn:……………………………………………………………………………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Medicijn dient dagelijks te worden toegediend op onderstaande tijden: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…………………….uur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…………………….uur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…………………….uur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…………………….uur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Medicijn(en) mogen alleen worden toegediend in de volgende situatie(s):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14"/>
          <w:szCs w:val="14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Black" w:hAnsi="ClearfaceGothicLH-Black" w:cs="ClearfaceGothicLH-Black"/>
          <w:b/>
          <w:bCs/>
          <w:color w:val="FFFFFF"/>
          <w:sz w:val="9"/>
          <w:szCs w:val="9"/>
        </w:rPr>
      </w:pPr>
      <w:r>
        <w:rPr>
          <w:rFonts w:ascii="ClearfaceGothicLH-Black" w:hAnsi="ClearfaceGothicLH-Black" w:cs="ClearfaceGothicLH-Black"/>
          <w:b/>
          <w:bCs/>
          <w:color w:val="FFFFFF"/>
          <w:sz w:val="9"/>
          <w:szCs w:val="9"/>
        </w:rPr>
        <w:t xml:space="preserve"> G D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Dosering van het medicijn:………………………………………….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Wijze van toediening:………………………………………………...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Wijze van bewaren:………………………………………………….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14"/>
          <w:szCs w:val="14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 xml:space="preserve">Controle op vervaldatum door:……………………………………. </w:t>
      </w:r>
      <w:r>
        <w:rPr>
          <w:rFonts w:ascii="ClearfaceGothicLH-Light" w:hAnsi="ClearfaceGothicLH-Light" w:cs="ClearfaceGothicLH-Light"/>
          <w:color w:val="000000"/>
          <w:sz w:val="14"/>
          <w:szCs w:val="14"/>
        </w:rPr>
        <w:t>(naam)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14"/>
          <w:szCs w:val="14"/>
        </w:rPr>
      </w:pP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  <w:r>
        <w:rPr>
          <w:rFonts w:ascii="ClearfaceGothicLH-Light" w:hAnsi="ClearfaceGothicLH-Light" w:cs="ClearfaceGothicLH-Light"/>
          <w:color w:val="000000"/>
          <w:sz w:val="20"/>
          <w:szCs w:val="20"/>
        </w:rPr>
        <w:t>functie:………………………………………………………………..</w:t>
      </w:r>
    </w:p>
    <w:p w:rsidR="00730E34" w:rsidRDefault="00730E34" w:rsidP="00730E34">
      <w:pPr>
        <w:autoSpaceDE w:val="0"/>
        <w:autoSpaceDN w:val="0"/>
        <w:adjustRightInd w:val="0"/>
        <w:rPr>
          <w:rFonts w:ascii="ClearfaceGothicLH-Light" w:hAnsi="ClearfaceGothicLH-Light" w:cs="ClearfaceGothicLH-Light"/>
          <w:color w:val="000000"/>
          <w:sz w:val="20"/>
          <w:szCs w:val="20"/>
        </w:rPr>
      </w:pPr>
    </w:p>
    <w:p w:rsidR="00AD266A" w:rsidRDefault="00AD266A"/>
    <w:sectPr w:rsidR="00AD266A" w:rsidSect="00AD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earfaceGothicLH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arfaceGothicLH-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E34"/>
    <w:rsid w:val="00730E34"/>
    <w:rsid w:val="00AD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30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30E34"/>
    <w:rPr>
      <w:rFonts w:ascii="Arial" w:eastAsia="Times New Roman" w:hAnsi="Arial" w:cs="Arial"/>
      <w:b/>
      <w:bCs/>
      <w:kern w:val="32"/>
      <w:sz w:val="32"/>
      <w:szCs w:val="32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Office Word</Application>
  <DocSecurity>0</DocSecurity>
  <Lines>8</Lines>
  <Paragraphs>2</Paragraphs>
  <ScaleCrop>false</ScaleCrop>
  <Company>Hewlett-Packard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2012-09-19T14:38:00Z</dcterms:created>
  <dcterms:modified xsi:type="dcterms:W3CDTF">2012-09-19T14:38:00Z</dcterms:modified>
</cp:coreProperties>
</file>